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NOTICE OF PREVAILING RATE CHALLENGE:</w:t>
      </w:r>
    </w:p>
    <w:p w:rsidR="00000000" w:rsidDel="00000000" w:rsidP="00000000" w:rsidRDefault="00000000" w:rsidRPr="00000000" w14:paraId="00000002">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LABORER (GROUP II) (HIGHWAY)</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ANNE ARUNDEL, BALTIMORE, CARROLL, FREDERICK, HARFORD, HOWARD, MONTGOMERY, PRINCE GEORGE’S, AND QUEEN ANNE’S COUNTIES AND BALTIMORE CITY</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Please be advised that the Prevailing Wage Unit (“PWU”) has received a challenge to the prevailing rates determined for the Laborer Group II classifications for Highway work in the above ten jurisdictions.</w:t>
      </w:r>
      <w:r w:rsidDel="00000000" w:rsidR="00000000" w:rsidRPr="00000000">
        <w:rPr>
          <w:rFonts w:ascii="Times New Roman" w:cs="Times New Roman" w:eastAsia="Times New Roman" w:hAnsi="Times New Roman"/>
          <w:sz w:val="26"/>
          <w:szCs w:val="26"/>
          <w:rtl w:val="0"/>
        </w:rPr>
        <w:t xml:space="preserve"> That group includes the following classifications:</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ASPHALT RAKER</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COMMON</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CONCRETE PUDDLER</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CONCRETE TENDER</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CONCRETE VIBRATOR</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DENSITY GAUGE</w:t>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FIREPROOFER - MIXER</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FLAGGER</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GRADE CHECKER</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HAND ROLLER</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JACKHAMMER</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LANDSCAPING</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LAYOUT</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LUTEMAN</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MORTAR MIXER</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PLASTERER - HANDLER</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LABORER - TAMPER</w:t>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rates were published by the Commissioner of Labor and Industry on December 3, 2024, following the 2024 prevailing wage annual survey. The process for resolving a prevailing wage rate challenge is set forth in §17-211 of the State Finance and Procurement Article, and in COMAR 21.11.11.07. </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are a public body soliciting bids for work in the highway category in one or more of these jurisdictions, </w:t>
      </w:r>
      <w:r w:rsidDel="00000000" w:rsidR="00000000" w:rsidRPr="00000000">
        <w:rPr>
          <w:rFonts w:ascii="Times New Roman" w:cs="Times New Roman" w:eastAsia="Times New Roman" w:hAnsi="Times New Roman"/>
          <w:b w:val="1"/>
          <w:sz w:val="26"/>
          <w:szCs w:val="26"/>
          <w:rtl w:val="0"/>
        </w:rPr>
        <w:t xml:space="preserve">please advise all potential bidders that the identified rates have been challenged and that any wage determinations issued with the challenged rates are subject to change depending on the resolution of the challenge</w:t>
      </w:r>
      <w:r w:rsidDel="00000000" w:rsidR="00000000" w:rsidRPr="00000000">
        <w:rPr>
          <w:rFonts w:ascii="Times New Roman" w:cs="Times New Roman" w:eastAsia="Times New Roman" w:hAnsi="Times New Roman"/>
          <w:sz w:val="26"/>
          <w:szCs w:val="26"/>
          <w:rtl w:val="0"/>
        </w:rPr>
        <w:t xml:space="preserve">. Information about the petition and a hearing on the petition will be posted on the Department’s website in the near future. If you have any questions, please email the PWU at dldliprevailingwage-labor@maryland.gov.</w:t>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 xml:space="preserve">1/3/2025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